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D6" w:rsidRPr="00437E08" w:rsidRDefault="00865FD6" w:rsidP="00865F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</w:t>
      </w:r>
    </w:p>
    <w:p w:rsidR="00865FD6" w:rsidRDefault="00865FD6" w:rsidP="00865F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средств бюджета автономного округа местным бюджетам для реализации мероприятия 1.10 подпрограммы 1 </w:t>
      </w:r>
      <w:r w:rsidRPr="00437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43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Гармонизация межнациональных и межконфессиональных отношений</w:t>
      </w:r>
      <w:r w:rsidRPr="00437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43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государственной программы Ханты-Мансийского автономного округа – Югры </w:t>
      </w:r>
      <w:r w:rsidRPr="00437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43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Реализация государственной национальной политики и профилактика экстремизма</w:t>
      </w:r>
      <w:r w:rsidRPr="00437E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Pr="00437E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 5 октября № 349-п</w:t>
      </w:r>
    </w:p>
    <w:p w:rsidR="00865FD6" w:rsidRDefault="00865FD6" w:rsidP="00865F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5FD6" w:rsidRPr="00936ED4" w:rsidRDefault="00865FD6" w:rsidP="00865F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6E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(утвержден постановлением Правительства автономного округа от 05.10.2018 </w:t>
      </w:r>
    </w:p>
    <w:p w:rsidR="005D4CE1" w:rsidRPr="00865FD6" w:rsidRDefault="00865FD6" w:rsidP="00865FD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6E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34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936E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 «О государственной программе Ханты-Мансийского автономного округа – Югры «Реализация государственной национальной политики и профилактика экстремизма»)</w:t>
      </w:r>
    </w:p>
    <w:p w:rsidR="005D4CE1" w:rsidRPr="00ED1681" w:rsidRDefault="005D4CE1" w:rsidP="005D4CE1">
      <w:pPr>
        <w:pStyle w:val="ConsPlusNormal"/>
        <w:jc w:val="both"/>
      </w:pPr>
    </w:p>
    <w:p w:rsidR="005D4CE1" w:rsidRPr="00ED1681" w:rsidRDefault="005D4CE1" w:rsidP="00865FD6">
      <w:pPr>
        <w:pStyle w:val="ConsPlusNormal"/>
        <w:ind w:firstLine="540"/>
        <w:jc w:val="both"/>
      </w:pPr>
      <w:bookmarkStart w:id="0" w:name="Par3567"/>
      <w:bookmarkEnd w:id="0"/>
      <w:r w:rsidRPr="00ED1681">
        <w:t>1. Порядок определяет условия и процедуру распределения и предоставления субсидии из бюджета автономного округа бюджетам городских округов, муниципальных районов автономного округа (далее - местные бюджеты) в целях софинансирования расходных обязательств муниципальных образований автономного округа, связанных с реализацией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(далее - субсидия), правила и условия заключения соглашений на предоставление субсидии и контроль за ее использованием.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2. Средства бюджета автономного округа предоставляются в виде субсидии из бюджета автономного округа местным бюджетам в пределах бюджетных ассигнований, предусмотренных в законе автономного округа о бюджете автономного округа на текущий финансовый год и плановый период, и лимитов бюджетных обязательств для реализации мероприятия 1.10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 </w:t>
      </w:r>
      <w:hyperlink w:anchor="Par240" w:tooltip="Подпрограмма 1. Гармонизация межнациональных и межконфессиональных отношений" w:history="1">
        <w:r w:rsidRPr="00ED1681">
          <w:t>подпрограммы 1</w:t>
        </w:r>
      </w:hyperlink>
      <w:r w:rsidRPr="00ED1681">
        <w:t xml:space="preserve"> "Гармонизация межнациональных и межконфессиональных отношений" государственной программы.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2.1. Субсидия предоставляется местным бюджетам для реализации мероприятий, указанных в </w:t>
      </w:r>
      <w:hyperlink w:anchor="Par3590" w:tooltip="4.2. Соответствие содержания мероприятий основным направлениям и задачам Стратегии государственной национальной политики Российской Федерации на период до 2025 года и Стратегии противодействия экстремизму Российской Федерации до 2025 года, в том числе:" w:history="1">
        <w:r w:rsidRPr="00ED1681">
          <w:t>подпункте 4.2 пункта 4</w:t>
        </w:r>
      </w:hyperlink>
      <w:r w:rsidRPr="00ED1681">
        <w:t xml:space="preserve"> Порядка. Перечень мероприятий, на которые предоставляется субсидия (далее - перечень мероприятий), согласовывается с Департаментом внутренней политики автономного округа (далее - Департамент) при заключении соглашения на предоставление субсидии (далее - Соглашение) в соответствии с </w:t>
      </w:r>
      <w:hyperlink w:anchor="Par3635" w:tooltip="15. Субсидия предоставляется на основании Соглашения, заключенного между Департаментом и администрацией в автоматизированной системе планирования, бухгалтерского учета и анализа исполнения бюджета &quot;Бюджет&quot;." w:history="1">
        <w:r w:rsidRPr="00ED1681">
          <w:t>пунктами 15</w:t>
        </w:r>
      </w:hyperlink>
      <w:r w:rsidRPr="00ED1681">
        <w:t xml:space="preserve">, </w:t>
      </w:r>
      <w:hyperlink w:anchor="Par3639" w:tooltip="16. Соглашение должно содержать:" w:history="1">
        <w:r w:rsidRPr="00ED1681">
          <w:t>16</w:t>
        </w:r>
      </w:hyperlink>
      <w:r w:rsidRPr="00ED1681">
        <w:t xml:space="preserve"> Порядка.</w:t>
      </w:r>
    </w:p>
    <w:p w:rsidR="005D4CE1" w:rsidRPr="00ED1681" w:rsidRDefault="005D4CE1" w:rsidP="00865FD6">
      <w:pPr>
        <w:pStyle w:val="ConsPlusNormal"/>
        <w:ind w:firstLine="540"/>
        <w:jc w:val="both"/>
      </w:pPr>
      <w:bookmarkStart w:id="1" w:name="Par3570"/>
      <w:bookmarkEnd w:id="1"/>
      <w:r w:rsidRPr="00ED1681">
        <w:t>2.2. В перечень мероприятий включается проведение: форумов, фестивалей, конкурсов, конференций, "круглых столов", выставок-презентаций, семинаров, курсов повышения квалификации, культурно-массовых, общественно значимых, просветительских и иных мероприятий в сфере государственной национальной политики, профилактики экстремизма, в том числе направленных на:</w:t>
      </w:r>
      <w:bookmarkStart w:id="2" w:name="_GoBack"/>
      <w:bookmarkEnd w:id="2"/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оказание содействия некоммерческим организациям на реализацию проектов в сфере государственной национальной политики, профилактики экстремизма;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обеспечение просветительской деятельности в целях противодействия распространению религиозного радикализма;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поддержку и популяризацию русского языка как государственного языка Российской Федерации и средства межнационального общения;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содействие национально-культурному развитию, расширению государственной поддержки национальных видов спорта, проведение спортивных состязаний и спартакиад </w:t>
      </w:r>
      <w:r w:rsidRPr="00ED1681">
        <w:lastRenderedPageBreak/>
        <w:t>народов России;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создание условий для сохранения и развития языков народов России, проживающих в автономном округе;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обеспечение участия некоммерческих организаций в мероприятиях, реализуемых в соответствии с муниципальными программами, в сфере государственной национальной политики, профилактики экстремизма;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профилактику ксенофобии и экстремизма, подготовку кадров в сфере формирования установок толерантного сознания и межкультурного воспитания;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повышение уровня компетенций и активизации деятельности лидеров молодежных объединений в деятельности по обеспечению межнационального и межконфессионального согласия, профилактике экстремизма, продвижения лучших практик по реализации проектов в сфере государственной национальной политики в автономном округе;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повышение профессионального уровня специалистов по вопросам государственной национальной политики и профилактики экстремизма;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создание условий для социальной и культурной адаптации мигрантов;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осуществление мониторинга состояния межнациональных и межконфессиональных отношений в муниципальном образовании;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осуществление комплекса мер по формированию и реализации стратегии социальной рекламы, поддержке проектов средств массовой информации по производству и трансляции телевизионных и радиопрограмм, изданию информационно-методической литературы, создания и развития интернет-проектов и ресурсов, направленных на популяризацию идей гражданского единства, межнационального и межконфессионального мира и согласия, а также обеспечению доступа граждан к информации о реализации государственной национальной политики и профилактике экстремизма путем взаимодействия с печатными и сетевыми средствами массовой информации.</w:t>
      </w:r>
    </w:p>
    <w:p w:rsidR="005D4CE1" w:rsidRPr="00ED1681" w:rsidRDefault="005D4CE1" w:rsidP="00865FD6">
      <w:pPr>
        <w:pStyle w:val="ConsPlusNormal"/>
        <w:ind w:firstLine="540"/>
        <w:jc w:val="both"/>
      </w:pPr>
      <w:bookmarkStart w:id="3" w:name="Par3583"/>
      <w:bookmarkEnd w:id="3"/>
      <w:r w:rsidRPr="00ED1681">
        <w:t>3. Субсидия предоставляется в целях: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повышения эффективности деятельности органов местного самоуправления городских округов и муниципальных районов автономного округа (далее - муниципальные образования) при реализации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поощрения за достижение наилучших значений показателей в указанной сфере.</w:t>
      </w:r>
    </w:p>
    <w:p w:rsidR="005D4CE1" w:rsidRPr="00ED1681" w:rsidRDefault="005D4CE1" w:rsidP="00865FD6">
      <w:pPr>
        <w:pStyle w:val="ConsPlusNormal"/>
        <w:ind w:firstLine="540"/>
        <w:jc w:val="both"/>
      </w:pPr>
      <w:bookmarkStart w:id="4" w:name="Par3586"/>
      <w:bookmarkEnd w:id="4"/>
      <w:r w:rsidRPr="00ED1681">
        <w:t>4. Субсидия предоставляется при соблюдении следующих условий: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4.1. Наличие муниципального правового акта, предусматривающего: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перечень мероприятий, соответствующих </w:t>
      </w:r>
      <w:hyperlink w:anchor="Par3567" w:tooltip="1. Порядок определяет условия и процедуру распределения и предоставления субсидии из бюджета автономного округа бюджетам городских округов, муниципальных районов автономного округа (далее - местные бюджеты) в целях софинансирования расходных обязательств муниц" w:history="1">
        <w:r w:rsidRPr="00ED1681">
          <w:t>пункту 1</w:t>
        </w:r>
      </w:hyperlink>
      <w:r w:rsidRPr="00ED1681">
        <w:t xml:space="preserve"> и </w:t>
      </w:r>
      <w:hyperlink w:anchor="Par3570" w:tooltip="2.2. В перечень мероприятий включается проведение: форумов, фестивалей, конкурсов, конференций, &quot;круглых столов&quot;, выставок-презентаций, семинаров, курсов повышения квалификации, культурно-массовых, общественно значимых, просветительских и иных мероприятий в сф" w:history="1">
        <w:r w:rsidRPr="00ED1681">
          <w:t>подпункту 2.2 пункта 2</w:t>
        </w:r>
      </w:hyperlink>
      <w:r w:rsidRPr="00ED1681">
        <w:t xml:space="preserve"> Порядка (далее - мероприятия), на софинансирование которых предоставляется субсидия, и расходные обязательства муниципального образования для их реализации;</w:t>
      </w:r>
    </w:p>
    <w:p w:rsidR="005D4CE1" w:rsidRPr="00ED1681" w:rsidRDefault="005D4CE1" w:rsidP="00865FD6">
      <w:pPr>
        <w:pStyle w:val="ConsPlusNormal"/>
        <w:ind w:firstLine="540"/>
        <w:jc w:val="both"/>
        <w:rPr>
          <w:b/>
        </w:rPr>
      </w:pPr>
      <w:r w:rsidRPr="00ED1681">
        <w:lastRenderedPageBreak/>
        <w:t>показатели, аналогичные показателям государственной программы "Доля граждан, положительно оценивающих состояние межнациональных отношений в автономном округе", "Количество участников мероприятий, направленных на укрепление общероссийского гражданского единства, проживающих в автономном округе", "Численность участников мероприятий, направленных на этнокультурное развитие народов России, проживающих в автономном округе".</w:t>
      </w:r>
    </w:p>
    <w:p w:rsidR="005D4CE1" w:rsidRPr="00ED1681" w:rsidRDefault="005D4CE1" w:rsidP="00865FD6">
      <w:pPr>
        <w:pStyle w:val="ConsPlusNormal"/>
        <w:ind w:firstLine="540"/>
        <w:jc w:val="both"/>
      </w:pPr>
      <w:bookmarkStart w:id="5" w:name="Par3590"/>
      <w:bookmarkEnd w:id="5"/>
      <w:r w:rsidRPr="00ED1681">
        <w:t>4.2. Соответствие содержания мероприятий основным направлениям и задачам Стратегии государственной национальной политики Российской Федерации на период до 2025 года и Стратегии противодействия экстремизму Российской Федерации до 2025 года, в том числе: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обеспечение межнационального мира и согласия, гармонизация межнациональных (межэтнических отношений);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создание условий для социальной и культурной адаптации мигрантов;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укрепление единства и духовной общности многонационального народа Российской Федерации (российской нации);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сохранение и развитие этнокультурного многообразия народов России;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информационное обеспечение реализации государственной национальной политики Российской Федерации;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формирование у детей и молодежи общероссийского гражданского самосознания, чувства патриотизма, гражданской ответственности, гордости за историю нашей страны, воспитание культуры межнационального общения;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формирование системы профилактики экстремизма и предупреждения межнациональных конфликтов.</w:t>
      </w:r>
    </w:p>
    <w:p w:rsidR="005D4CE1" w:rsidRPr="005D4CE1" w:rsidRDefault="005D4CE1" w:rsidP="00865FD6">
      <w:pPr>
        <w:pStyle w:val="ConsPlusNormal"/>
        <w:ind w:firstLine="540"/>
        <w:jc w:val="both"/>
      </w:pPr>
      <w:r w:rsidRPr="005D4CE1">
        <w:t>4.3.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бюджета автономного округа субсидии.</w:t>
      </w:r>
    </w:p>
    <w:p w:rsidR="005D4CE1" w:rsidRPr="005D4CE1" w:rsidRDefault="005D4CE1" w:rsidP="00865FD6">
      <w:pPr>
        <w:pStyle w:val="ConsPlusNormal"/>
        <w:ind w:firstLine="540"/>
        <w:jc w:val="both"/>
      </w:pPr>
      <w:r w:rsidRPr="005D4CE1">
        <w:t>4.4. Предельный уровень софинансирования из бюджета автономного округа бюджетам городских округов, муниципальных районов автономного округа:</w:t>
      </w:r>
    </w:p>
    <w:p w:rsidR="005D4CE1" w:rsidRPr="005D4CE1" w:rsidRDefault="005D4CE1" w:rsidP="00865FD6">
      <w:pPr>
        <w:pStyle w:val="ConsPlusNormal"/>
        <w:ind w:firstLine="540"/>
        <w:jc w:val="both"/>
      </w:pPr>
      <w:r w:rsidRPr="005D4CE1">
        <w:t>для муниципальных образований с коэффициентом уровня расчетной бюджетной обеспеченности до 0,6 за счет средств бюджета автономного округа - не более 50% от общего объема финансового обеспечения мероприятий, на которые предоставляется субсидия; за счет средств муниципального бюджета - не менее 50% от общего объема финансового обеспечения мероприятий, на которые предоставляется субсидия;</w:t>
      </w:r>
    </w:p>
    <w:p w:rsidR="005D4CE1" w:rsidRPr="005D4CE1" w:rsidRDefault="005D4CE1" w:rsidP="00865FD6">
      <w:pPr>
        <w:pStyle w:val="ConsPlusNormal"/>
        <w:ind w:firstLine="540"/>
        <w:jc w:val="both"/>
      </w:pPr>
      <w:r w:rsidRPr="005D4CE1">
        <w:t>для муниципальных образований с коэффициентом уровня расчетной бюджетной обеспеченности от 0,6 до 1 - не более 40% от общего объема финансового обеспечения мероприятий, на которые предоставляется субсидия; за счет средств муниципального бюджета - не менее 60% от общего объема финансового обеспечения мероприятий, на которые предоставляется субсидия;</w:t>
      </w:r>
    </w:p>
    <w:p w:rsidR="005D4CE1" w:rsidRPr="005D4CE1" w:rsidRDefault="005D4CE1" w:rsidP="00865FD6">
      <w:pPr>
        <w:pStyle w:val="ConsPlusNormal"/>
        <w:ind w:firstLine="540"/>
        <w:jc w:val="both"/>
      </w:pPr>
      <w:r w:rsidRPr="005D4CE1">
        <w:t>для муниципальных образований с коэффициентом уровня расчетной бюджетной обеспеченности &gt; 1 - не более 30% от общего объема финансового обеспечения мероприятий, на которые предоставляется субсидия; за счет средств муниципального бюджета - не менее 70% от общего объема финансового обеспечения мероприятий, на которые предоставляется субсидия.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5. Критерием отбора муниципальных образований для предоставления субсидии является значение показателя "Доля граждан, положительно оценивающих состояние межнациональных отношений в автономном округе", определяемого по результатам ежегодных социологических исследований о состоянии межнациональных и межконфессиональных отношений в автономном округе, проводимых Департаментом общественных и внешних связей Югры в ходе реализации мероприятия 2.7 государственной программы, в предшествующем году (далее - Показатель).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6. Департамент в срок до 1 июня года, предшествующего плановому, формирует список муниципальных образований и перечень из 12 получателей субсидии в следующем финансовом году (далее - Перечень).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Муниципальные образования располагаются в соответствующем списке муниципальных образований и в Перечне в порядке убывания значения Показателя.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7. В Перечень включаются 3 муниципальных образования, в которых в отчетном году достигнуто наилучшее значение Показателя (далее - первая группа), и 9 муниципальных образований, достигших наименьшего значения Показателя (далее - вторая группа).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Субсидия предоставляется муниципальным образованиям, включенным в Перечень (далее - получатели субсидии) с соблюдением условий, определенных </w:t>
      </w:r>
      <w:hyperlink w:anchor="Par3586" w:tooltip="4. Субсидия предоставляется при соблюдении следующих условий:" w:history="1">
        <w:r w:rsidRPr="00ED1681">
          <w:t>пунктом 4</w:t>
        </w:r>
      </w:hyperlink>
      <w:r w:rsidRPr="00ED1681">
        <w:t xml:space="preserve"> Порядка.</w:t>
      </w:r>
    </w:p>
    <w:p w:rsidR="005D4CE1" w:rsidRPr="00ED1681" w:rsidRDefault="005D4CE1" w:rsidP="00865FD6">
      <w:pPr>
        <w:pStyle w:val="ConsPlusNormal"/>
        <w:ind w:firstLine="540"/>
        <w:jc w:val="both"/>
      </w:pPr>
      <w:bookmarkStart w:id="6" w:name="Par3607"/>
      <w:bookmarkEnd w:id="6"/>
      <w:r w:rsidRPr="00ED1681">
        <w:t>8. Распределение субсидии осуществляется в следующих размерах: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а) 20% - между муниципальными образованиями автономного округа, входящими в первую группу.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б) 80% - между муниципальными образованиями автономного округа, входящими во вторую группу.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9. Размер субсидии, предоставляемой муниципальному образованию автономного округа: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а) входящему в первую группу (СУБ1), определяется по формуле:</w:t>
      </w:r>
    </w:p>
    <w:p w:rsidR="005D4CE1" w:rsidRPr="00ED1681" w:rsidRDefault="005D4CE1" w:rsidP="00865FD6">
      <w:pPr>
        <w:pStyle w:val="ConsPlusNormal"/>
        <w:jc w:val="both"/>
      </w:pP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СУБ1 = 0,2 x СУБ / Н1,</w:t>
      </w:r>
    </w:p>
    <w:p w:rsidR="005D4CE1" w:rsidRPr="00ED1681" w:rsidRDefault="005D4CE1" w:rsidP="00865FD6">
      <w:pPr>
        <w:pStyle w:val="ConsPlusNormal"/>
        <w:jc w:val="both"/>
      </w:pP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где: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СУБ - размер бюджетных ассигнований, предусмотренных в бюджете автономного округа на соответствующий финансовый год для предоставления субсидий местным бюджетам на цели, указанные в </w:t>
      </w:r>
      <w:hyperlink w:anchor="Par3583" w:tooltip="3. Субсидия предоставляется в целях:" w:history="1">
        <w:r w:rsidRPr="00ED1681">
          <w:t>пункте 3</w:t>
        </w:r>
      </w:hyperlink>
      <w:r w:rsidRPr="00ED1681">
        <w:t xml:space="preserve"> Порядка;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Н1 - количество муниципальных образований, входящих в первую группу.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б) входящему во вторую группу (СУБ2), определяется по формуле:</w:t>
      </w:r>
    </w:p>
    <w:p w:rsidR="005D4CE1" w:rsidRPr="00ED1681" w:rsidRDefault="005D4CE1" w:rsidP="00865FD6">
      <w:pPr>
        <w:pStyle w:val="ConsPlusNormal"/>
        <w:jc w:val="both"/>
      </w:pP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СУБ2 = 0,8 x СУБ / Н2,</w:t>
      </w:r>
    </w:p>
    <w:p w:rsidR="005D4CE1" w:rsidRPr="00ED1681" w:rsidRDefault="005D4CE1" w:rsidP="00865FD6">
      <w:pPr>
        <w:pStyle w:val="ConsPlusNormal"/>
        <w:jc w:val="both"/>
      </w:pP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где: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СУБ - размер бюджетных ассигнований, предусмотренных в бюджете автономного округа на соответствующий финансовый год для предоставления субсидии местным бюджетам на цели, указанные в </w:t>
      </w:r>
      <w:hyperlink w:anchor="Par3583" w:tooltip="3. Субсидия предоставляется в целях:" w:history="1">
        <w:r w:rsidRPr="00ED1681">
          <w:t>пункте 3</w:t>
        </w:r>
      </w:hyperlink>
      <w:r w:rsidRPr="00ED1681">
        <w:t xml:space="preserve"> Порядка;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Н2 - количество муниципальных образований автономного округа, входящих во вторую группу.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10. В случае несоблюдения муниципальным образованием условий софинансирования, наличия оснований для отказа в предоставлении субсидии, определенных </w:t>
      </w:r>
      <w:hyperlink w:anchor="Par3633" w:tooltip="13. Непредставление (нарушение сроков представления) муниципальным образованием автономного округа документов, указанных в пунктах 4, 12 Порядка, служит основанием для отказа в предоставлении субсидии и для внесения изменений в Перечень." w:history="1">
        <w:r w:rsidRPr="00ED1681">
          <w:t>пунктом 13</w:t>
        </w:r>
      </w:hyperlink>
      <w:r w:rsidRPr="00ED1681">
        <w:t xml:space="preserve"> Порядка, субсидия перераспределяется другому муниципальному образованию из списка муниципальных образований: следующему - для первой группы или предыдущему - для второй группы.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11. Департамент в течение 5 рабочих дней с даты формирования Перечня направляет получателям субсидии предварительную информацию об объемах предоставляемой субсидии из бюджета автономного округа на очередной финансовый год.</w:t>
      </w:r>
    </w:p>
    <w:p w:rsidR="005D4CE1" w:rsidRPr="00ED1681" w:rsidRDefault="005D4CE1" w:rsidP="00865FD6">
      <w:pPr>
        <w:pStyle w:val="ConsPlusNormal"/>
        <w:ind w:firstLine="540"/>
        <w:jc w:val="both"/>
      </w:pPr>
      <w:bookmarkStart w:id="7" w:name="Par3627"/>
      <w:bookmarkEnd w:id="7"/>
      <w:r w:rsidRPr="00ED1681">
        <w:t>12. Получатели субсидии в срок до 1 августа представляют в адрес Департамента: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1) информацию об объемах средств местного бюджета, предусмотренных в проекте местного бюджета на очередной финансовый год на реализацию мероприятий на условиях софинансирования, которую заверяет руководитель финансового органа муниципального образования;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2) реквизиты муниципального правового акта, предусматривающего: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мероприятия и расходные обязательства муниципального образования на их исполнение;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перечень показателей муниципальной программы, аналогичных показателям государственной программы "Доля граждан, положительно оценивающих состояние межнациональных отношений в автономном округе", "Количество участников мероприятий, направленных на укрепление общероссийского гражданского единства, проживающих в автономном округе", "Численность участников мероприятий, направленных на этнокультурное развитие народов России, проживающих в автономном округе";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3) информацию о плановом значении показателя (аналогичного показателю государственной программы "Доля граждан, положительно оценивающих состояние межнациональных отношений в автономном округе"), предусмотренного на очередной финансовый год в муниципальной программе.</w:t>
      </w:r>
    </w:p>
    <w:p w:rsidR="005D4CE1" w:rsidRPr="00ED1681" w:rsidRDefault="005D4CE1" w:rsidP="00865FD6">
      <w:pPr>
        <w:pStyle w:val="ConsPlusNormal"/>
        <w:ind w:firstLine="540"/>
        <w:jc w:val="both"/>
      </w:pPr>
      <w:bookmarkStart w:id="8" w:name="Par3633"/>
      <w:bookmarkEnd w:id="8"/>
      <w:r w:rsidRPr="00ED1681">
        <w:t xml:space="preserve">13. Непредставление (нарушение сроков представления) муниципальным образованием автономного округа документов, указанных в </w:t>
      </w:r>
      <w:hyperlink w:anchor="Par3586" w:tooltip="4. Субсидия предоставляется при соблюдении следующих условий:" w:history="1">
        <w:r w:rsidRPr="00ED1681">
          <w:t>пунктах 4</w:t>
        </w:r>
      </w:hyperlink>
      <w:r w:rsidRPr="00ED1681">
        <w:t xml:space="preserve">, </w:t>
      </w:r>
      <w:hyperlink w:anchor="Par3627" w:tooltip="12. Получатели субсидии в срок до 1 августа представляют в адрес Департамента:" w:history="1">
        <w:r w:rsidRPr="00ED1681">
          <w:t>12</w:t>
        </w:r>
      </w:hyperlink>
      <w:r w:rsidRPr="00ED1681">
        <w:t xml:space="preserve"> Порядка, служит основанием для отказа в предоставлении субсидии и для внесения изменений в Перечень.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14. Департамент письменно уведомляет исполнительно-распорядительный орган муниципального образования автономного округа (далее - администрация) о причинах отказа в предоставлении субсидии.</w:t>
      </w:r>
    </w:p>
    <w:p w:rsidR="005D4CE1" w:rsidRPr="00ED1681" w:rsidRDefault="005D4CE1" w:rsidP="00865FD6">
      <w:pPr>
        <w:pStyle w:val="ConsPlusNormal"/>
        <w:ind w:firstLine="540"/>
        <w:jc w:val="both"/>
      </w:pPr>
      <w:bookmarkStart w:id="9" w:name="Par3635"/>
      <w:bookmarkEnd w:id="9"/>
      <w:r w:rsidRPr="00ED1681">
        <w:t>15. Субсидия предоставляется на основании Соглашения, заключенного между Департаментом и администрацией в автоматизированной системе планирования, бухгалтерского учета и анализа исполнения бюджета "Бюджет".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15.1. Проект Соглашения заполняет Департамент в части данных распорядителя бюджетных средств и направляет администрации не позднее 15 декабря года, предшествующего году предоставления субсидии.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15.2. Соглашение заключается после принятия бюджета автономного округа, местных бюджетов на очередной финансовый год и плановый период с учетом соблюдения условий, определенных </w:t>
      </w:r>
      <w:hyperlink w:anchor="Par3586" w:tooltip="4. Субсидия предоставляется при соблюдении следующих условий:" w:history="1">
        <w:r w:rsidRPr="00ED1681">
          <w:t>пунктом 4</w:t>
        </w:r>
      </w:hyperlink>
      <w:r w:rsidRPr="00ED1681">
        <w:t xml:space="preserve"> Порядка, но не позднее 1 апреля текущего года.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 xml:space="preserve">В случае нарушения администрацией срока и условий, указанных в Порядке, денежные средства распределяются между муниципальными образованиями в соответствии с </w:t>
      </w:r>
      <w:hyperlink w:anchor="Par3607" w:tooltip="8. Распределение субсидии осуществляется в следующих размерах:" w:history="1">
        <w:r w:rsidRPr="00ED1681">
          <w:t>пунктом 8</w:t>
        </w:r>
      </w:hyperlink>
      <w:r w:rsidRPr="00ED1681">
        <w:t xml:space="preserve"> Порядка в срок не позднее 1 мая текущего года. Соглашение с администрацией муниципального образования, определенного по итогам распределения, заключается с учетом соблюдения условий, определенных </w:t>
      </w:r>
      <w:hyperlink w:anchor="Par3586" w:tooltip="4. Субсидия предоставляется при соблюдении следующих условий:" w:history="1">
        <w:r w:rsidRPr="00ED1681">
          <w:t>пунктом 4</w:t>
        </w:r>
      </w:hyperlink>
      <w:r w:rsidRPr="00ED1681">
        <w:t xml:space="preserve"> Порядка, не позднее 1 июля текущего года.</w:t>
      </w:r>
    </w:p>
    <w:p w:rsidR="005D4CE1" w:rsidRPr="00ED1681" w:rsidRDefault="005D4CE1" w:rsidP="00865FD6">
      <w:pPr>
        <w:pStyle w:val="ConsPlusNormal"/>
        <w:ind w:firstLine="540"/>
        <w:jc w:val="both"/>
      </w:pPr>
      <w:bookmarkStart w:id="10" w:name="Par3639"/>
      <w:bookmarkEnd w:id="10"/>
      <w:r w:rsidRPr="00ED1681">
        <w:t>16. Соглашение должно содержать: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1) сведения о размере субсидии;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2) сведения о наличии муниципального правового акта, предусматривающего мероприятия и расходные обязательства для их реализации;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3) плановое значение Показателя исходя из утвержденного на очередной год значения целевого показателя муниципальной программы (аналогичного соответствующему целевому показателю государственной программы "Доля граждан, положительно оценивающих состояние межнациональных отношений в автономном округе") (приложение к Соглашению);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4) формы и сроки представления отчетности в Департамент об исполнении обязательств, вытекающих из Соглашения, в том числе о расходах средств субсидии и средств местных бюджетов;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5) ответственность сторон за нарушение условий Соглашения.</w:t>
      </w:r>
    </w:p>
    <w:p w:rsidR="005D4CE1" w:rsidRPr="005D4CE1" w:rsidRDefault="005D4CE1" w:rsidP="00865FD6">
      <w:pPr>
        <w:pStyle w:val="ConsPlusNormal"/>
        <w:ind w:firstLine="540"/>
        <w:jc w:val="both"/>
      </w:pPr>
      <w:r w:rsidRPr="005D4CE1">
        <w:t>16.1. Для заключения Соглашения муниципальное образование к проекту Соглашения прикрепляет следующие документы:</w:t>
      </w:r>
    </w:p>
    <w:p w:rsidR="005D4CE1" w:rsidRPr="005D4CE1" w:rsidRDefault="005D4CE1" w:rsidP="00865FD6">
      <w:pPr>
        <w:pStyle w:val="ConsPlusNormal"/>
        <w:ind w:firstLine="540"/>
        <w:jc w:val="both"/>
      </w:pPr>
      <w:r w:rsidRPr="005D4CE1">
        <w:t xml:space="preserve">копию утвержденной муниципальной программы, соответствующей требованиям, установленным в </w:t>
      </w:r>
      <w:hyperlink w:anchor="Par3202" w:tooltip="2.1.1. Муниципальной программы, предусматривающей:" w:history="1">
        <w:r w:rsidRPr="005D4CE1">
          <w:t xml:space="preserve">подпункте 4.1 пункта </w:t>
        </w:r>
      </w:hyperlink>
      <w:r w:rsidRPr="005D4CE1">
        <w:t>4 Порядка;</w:t>
      </w:r>
    </w:p>
    <w:p w:rsidR="005D4CE1" w:rsidRPr="005D4CE1" w:rsidRDefault="005D4CE1" w:rsidP="00865FD6">
      <w:pPr>
        <w:pStyle w:val="ConsPlusNormal"/>
        <w:ind w:firstLine="540"/>
        <w:jc w:val="both"/>
      </w:pPr>
      <w:r w:rsidRPr="005D4CE1">
        <w:t>выписку из решения о бюджете (или из бюджетной росписи) муниципального образования, подтверждающую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бюджета автономного округа субсидии, с учетом уровня софинансирования, установленного Порядком, заверенную руководителем финансового органа администрации муниципального образования.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17. Перечисление субсидии осуществляется в установленном Департаментом финансов автономного округа порядке на счета,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18. Эффективность использования субсидии определяет Департамент на основании значения Показателя, установленного по результатам ежегодного социологического исследования о состоянии межнациональных и межконфессиональных отношений в автономном округе, проведенного Департаментом общественных и внешних связей автономного округа в ходе реализации мероприятия 2.7 государственной программы, в году предоставления субсидии.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19. В случае несоблюдения администрацией условий Соглашения, недостижения значения Показателя, нецелевого использования субсидии средства подлежат возврату в бюджет автономного округа в размере, определенном Департаментом в соответствии с условиями Соглашения.</w:t>
      </w:r>
    </w:p>
    <w:p w:rsidR="005D4CE1" w:rsidRPr="00ED1681" w:rsidRDefault="005D4CE1" w:rsidP="00865FD6">
      <w:pPr>
        <w:pStyle w:val="ConsPlusNormal"/>
        <w:ind w:firstLine="540"/>
        <w:jc w:val="both"/>
      </w:pPr>
      <w:r w:rsidRPr="00ED1681">
        <w:t>20. Администрация несет полную ответственность за невыполнение предусмотренных Соглашением обязательств, за нецелевое использование субсидии в соответствии с законодательством Российской Федерации и законодательством автономного округа.</w:t>
      </w:r>
    </w:p>
    <w:p w:rsidR="003866AC" w:rsidRDefault="003866AC" w:rsidP="00865FD6">
      <w:pPr>
        <w:spacing w:after="0" w:line="240" w:lineRule="auto"/>
      </w:pPr>
    </w:p>
    <w:sectPr w:rsidR="003866AC" w:rsidSect="00865FD6">
      <w:headerReference w:type="default" r:id="rId7"/>
      <w:pgSz w:w="11906" w:h="16838"/>
      <w:pgMar w:top="851" w:right="1134" w:bottom="851" w:left="1134" w:header="709" w:footer="709" w:gutter="0"/>
      <w:pgNumType w:start="28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FD6" w:rsidRDefault="00865FD6" w:rsidP="00865FD6">
      <w:pPr>
        <w:spacing w:after="0" w:line="240" w:lineRule="auto"/>
      </w:pPr>
      <w:r>
        <w:separator/>
      </w:r>
    </w:p>
  </w:endnote>
  <w:endnote w:type="continuationSeparator" w:id="0">
    <w:p w:rsidR="00865FD6" w:rsidRDefault="00865FD6" w:rsidP="00865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FD6" w:rsidRDefault="00865FD6" w:rsidP="00865FD6">
      <w:pPr>
        <w:spacing w:after="0" w:line="240" w:lineRule="auto"/>
      </w:pPr>
      <w:r>
        <w:separator/>
      </w:r>
    </w:p>
  </w:footnote>
  <w:footnote w:type="continuationSeparator" w:id="0">
    <w:p w:rsidR="00865FD6" w:rsidRDefault="00865FD6" w:rsidP="00865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290006"/>
      <w:docPartObj>
        <w:docPartGallery w:val="Page Numbers (Top of Page)"/>
        <w:docPartUnique/>
      </w:docPartObj>
    </w:sdtPr>
    <w:sdtContent>
      <w:p w:rsidR="00865FD6" w:rsidRDefault="00865FD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2804</w:t>
        </w:r>
        <w:r>
          <w:fldChar w:fldCharType="end"/>
        </w:r>
      </w:p>
    </w:sdtContent>
  </w:sdt>
  <w:p w:rsidR="00865FD6" w:rsidRDefault="00865F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CE1"/>
    <w:rsid w:val="003866AC"/>
    <w:rsid w:val="005D4CE1"/>
    <w:rsid w:val="0086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D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C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D4C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865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5FD6"/>
  </w:style>
  <w:style w:type="paragraph" w:styleId="a5">
    <w:name w:val="footer"/>
    <w:basedOn w:val="a"/>
    <w:link w:val="a6"/>
    <w:uiPriority w:val="99"/>
    <w:unhideWhenUsed/>
    <w:rsid w:val="00865F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65F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26"/>
    <w:rsid w:val="00BB4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2A063D8467C4B53B00F6689CB9425BD">
    <w:name w:val="E2A063D8467C4B53B00F6689CB9425BD"/>
    <w:rsid w:val="00BB4F2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2A063D8467C4B53B00F6689CB9425BD">
    <w:name w:val="E2A063D8467C4B53B00F6689CB9425BD"/>
    <w:rsid w:val="00BB4F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2887</Words>
  <Characters>16456</Characters>
  <Application>Microsoft Office Word</Application>
  <DocSecurity>0</DocSecurity>
  <Lines>137</Lines>
  <Paragraphs>38</Paragraphs>
  <ScaleCrop>false</ScaleCrop>
  <Company>MultiDVD Team</Company>
  <LinksUpToDate>false</LinksUpToDate>
  <CharactersWithSpaces>19305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ButerusTA</dc:creator>
  <cp:keywords/>
  <dc:description/>
  <cp:lastModifiedBy>Винникова С.Г.</cp:lastModifiedBy>
  <cp:revision>2</cp:revision>
  <dcterms:created xsi:type="dcterms:W3CDTF">2019-10-22T06:26:00Z</dcterms:created>
  <dcterms:modified xsi:type="dcterms:W3CDTF">2019-10-22T07:37:00Z</dcterms:modified>
</cp:coreProperties>
</file>